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36" w:rsidRDefault="00D05C94" w:rsidP="002B6B36">
      <w:pPr>
        <w:jc w:val="center"/>
        <w:rPr>
          <w:rFonts w:ascii="黑体" w:eastAsia="黑体" w:hAnsi="黑体" w:cs="Tahoma"/>
          <w:b/>
          <w:color w:val="333333"/>
          <w:sz w:val="36"/>
          <w:szCs w:val="36"/>
        </w:rPr>
      </w:pPr>
      <w:r>
        <w:rPr>
          <w:rFonts w:ascii="黑体" w:eastAsia="黑体" w:hAnsi="黑体" w:cs="Tahoma" w:hint="eastAsia"/>
          <w:b/>
          <w:color w:val="333333"/>
          <w:sz w:val="36"/>
          <w:szCs w:val="36"/>
        </w:rPr>
        <w:t>《</w:t>
      </w:r>
      <w:r w:rsidR="002B6B36" w:rsidRPr="002B6B36">
        <w:rPr>
          <w:rFonts w:ascii="黑体" w:eastAsia="黑体" w:hAnsi="黑体" w:cs="Tahoma"/>
          <w:b/>
          <w:color w:val="333333"/>
          <w:sz w:val="36"/>
          <w:szCs w:val="36"/>
        </w:rPr>
        <w:t>通信与网络技术</w:t>
      </w:r>
      <w:r>
        <w:rPr>
          <w:rFonts w:ascii="黑体" w:eastAsia="黑体" w:hAnsi="黑体" w:cs="Tahoma" w:hint="eastAsia"/>
          <w:b/>
          <w:color w:val="333333"/>
          <w:sz w:val="36"/>
          <w:szCs w:val="36"/>
        </w:rPr>
        <w:t>》</w:t>
      </w:r>
      <w:r w:rsidR="002B6B36" w:rsidRPr="002B6B36">
        <w:rPr>
          <w:rFonts w:ascii="黑体" w:eastAsia="黑体" w:hAnsi="黑体" w:cs="Tahoma"/>
          <w:b/>
          <w:color w:val="333333"/>
          <w:sz w:val="36"/>
          <w:szCs w:val="36"/>
        </w:rPr>
        <w:t>国家工程研究</w:t>
      </w:r>
      <w:r w:rsidR="002B6B36" w:rsidRPr="002C4FCF">
        <w:rPr>
          <w:rFonts w:ascii="黑体" w:eastAsia="黑体" w:hAnsi="黑体" w:cs="Tahoma"/>
          <w:b/>
          <w:sz w:val="36"/>
          <w:szCs w:val="36"/>
        </w:rPr>
        <w:t>中心</w:t>
      </w:r>
      <w:r w:rsidRPr="002C4FCF">
        <w:rPr>
          <w:rFonts w:ascii="黑体" w:eastAsia="黑体" w:hAnsi="黑体" w:cs="Tahoma"/>
          <w:b/>
          <w:sz w:val="36"/>
          <w:szCs w:val="36"/>
        </w:rPr>
        <w:t>公用</w:t>
      </w:r>
      <w:r w:rsidR="002B6B36" w:rsidRPr="002C4FCF">
        <w:rPr>
          <w:rFonts w:ascii="黑体" w:eastAsia="黑体" w:hAnsi="黑体" w:cs="Tahoma" w:hint="eastAsia"/>
          <w:b/>
          <w:bCs/>
          <w:sz w:val="36"/>
          <w:szCs w:val="36"/>
        </w:rPr>
        <w:t>经</w:t>
      </w:r>
      <w:r w:rsidR="002B6B36" w:rsidRPr="002B6B36">
        <w:rPr>
          <w:rFonts w:ascii="黑体" w:eastAsia="黑体" w:hAnsi="黑体" w:cs="Tahoma" w:hint="eastAsia"/>
          <w:b/>
          <w:bCs/>
          <w:color w:val="333333"/>
          <w:sz w:val="36"/>
          <w:szCs w:val="36"/>
        </w:rPr>
        <w:t>费管理规定</w:t>
      </w:r>
    </w:p>
    <w:p w:rsidR="00D05C94" w:rsidRPr="002C4FCF" w:rsidRDefault="00D05C94" w:rsidP="00D05C94">
      <w:pPr>
        <w:spacing w:line="360" w:lineRule="auto"/>
        <w:ind w:firstLineChars="200" w:firstLine="480"/>
        <w:rPr>
          <w:rFonts w:ascii="仿宋" w:eastAsia="仿宋" w:hAnsi="仿宋" w:cs="Tahoma"/>
          <w:sz w:val="24"/>
          <w:szCs w:val="24"/>
        </w:rPr>
      </w:pPr>
      <w:r w:rsidRPr="002C4FCF">
        <w:rPr>
          <w:rFonts w:ascii="仿宋" w:eastAsia="仿宋" w:hAnsi="仿宋" w:cs="Tahoma" w:hint="eastAsia"/>
          <w:sz w:val="24"/>
          <w:szCs w:val="24"/>
        </w:rPr>
        <w:t>研究中心公用经费来源为学校拨款，各种项目管理提成，每年初制定经费预算，年底进行结算。</w:t>
      </w:r>
    </w:p>
    <w:p w:rsidR="001D76FB" w:rsidRDefault="002B6B36" w:rsidP="002A18CE">
      <w:pPr>
        <w:spacing w:line="360" w:lineRule="auto"/>
        <w:ind w:firstLineChars="200" w:firstLine="480"/>
        <w:rPr>
          <w:rFonts w:ascii="仿宋" w:eastAsia="仿宋" w:hAnsi="仿宋" w:cs="Tahoma"/>
          <w:color w:val="333333"/>
          <w:sz w:val="24"/>
          <w:szCs w:val="24"/>
        </w:rPr>
      </w:pP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为了确保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本</w:t>
      </w:r>
      <w:r w:rsidR="001D76FB">
        <w:rPr>
          <w:rFonts w:ascii="仿宋" w:eastAsia="仿宋" w:hAnsi="仿宋" w:cs="Tahoma" w:hint="eastAsia"/>
          <w:color w:val="333333"/>
          <w:sz w:val="24"/>
          <w:szCs w:val="24"/>
        </w:rPr>
        <w:t>研</w:t>
      </w:r>
      <w:r w:rsidR="001D76FB" w:rsidRPr="002C4FCF">
        <w:rPr>
          <w:rFonts w:ascii="仿宋" w:eastAsia="仿宋" w:hAnsi="仿宋" w:cs="Tahoma" w:hint="eastAsia"/>
          <w:sz w:val="24"/>
          <w:szCs w:val="24"/>
        </w:rPr>
        <w:t>究</w:t>
      </w:r>
      <w:r w:rsidRPr="002C4FCF">
        <w:rPr>
          <w:rFonts w:ascii="仿宋" w:eastAsia="仿宋" w:hAnsi="仿宋" w:cs="Tahoma" w:hint="eastAsia"/>
          <w:sz w:val="24"/>
          <w:szCs w:val="24"/>
        </w:rPr>
        <w:t>中心的正常运行，规范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公用</w:t>
      </w:r>
      <w:r w:rsidRPr="002C4FCF">
        <w:rPr>
          <w:rFonts w:ascii="仿宋" w:eastAsia="仿宋" w:hAnsi="仿宋" w:cs="Tahoma" w:hint="eastAsia"/>
          <w:sz w:val="24"/>
          <w:szCs w:val="24"/>
        </w:rPr>
        <w:t>经费使用，</w:t>
      </w:r>
      <w:r w:rsidR="001D76FB">
        <w:rPr>
          <w:rFonts w:ascii="仿宋" w:eastAsia="仿宋" w:hAnsi="仿宋" w:cs="Tahoma" w:hint="eastAsia"/>
          <w:color w:val="333333"/>
          <w:sz w:val="24"/>
          <w:szCs w:val="24"/>
        </w:rPr>
        <w:t>特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规定</w:t>
      </w:r>
      <w:r w:rsidR="001D76FB">
        <w:rPr>
          <w:rFonts w:ascii="仿宋" w:eastAsia="仿宋" w:hAnsi="仿宋" w:cs="Tahoma" w:hint="eastAsia"/>
          <w:color w:val="333333"/>
          <w:sz w:val="24"/>
          <w:szCs w:val="24"/>
        </w:rPr>
        <w:t>如下：</w:t>
      </w:r>
    </w:p>
    <w:p w:rsidR="002B6B36" w:rsidRPr="002C4FCF" w:rsidRDefault="002B6B36" w:rsidP="001D76FB">
      <w:pPr>
        <w:spacing w:line="360" w:lineRule="auto"/>
        <w:rPr>
          <w:rFonts w:ascii="仿宋" w:eastAsia="仿宋" w:hAnsi="仿宋" w:cs="Tahoma"/>
          <w:sz w:val="24"/>
          <w:szCs w:val="24"/>
        </w:rPr>
      </w:pP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1. </w:t>
      </w:r>
      <w:r w:rsidR="001D76FB" w:rsidRPr="002C4FCF">
        <w:rPr>
          <w:rFonts w:ascii="仿宋" w:eastAsia="仿宋" w:hAnsi="仿宋" w:cs="Tahoma" w:hint="eastAsia"/>
          <w:sz w:val="24"/>
          <w:szCs w:val="24"/>
        </w:rPr>
        <w:t>研究中心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公用</w:t>
      </w:r>
      <w:r w:rsidRPr="002C4FCF">
        <w:rPr>
          <w:rFonts w:ascii="仿宋" w:eastAsia="仿宋" w:hAnsi="仿宋" w:cs="Tahoma" w:hint="eastAsia"/>
          <w:sz w:val="24"/>
          <w:szCs w:val="24"/>
        </w:rPr>
        <w:t>经费包括运行经费、建设经费和科研经费三类。</w:t>
      </w:r>
    </w:p>
    <w:p w:rsidR="002B6B36" w:rsidRDefault="002B6B36" w:rsidP="002B6B36">
      <w:pPr>
        <w:spacing w:line="360" w:lineRule="auto"/>
        <w:rPr>
          <w:rFonts w:ascii="仿宋" w:eastAsia="仿宋" w:hAnsi="仿宋" w:cs="Tahoma"/>
          <w:color w:val="333333"/>
          <w:sz w:val="24"/>
          <w:szCs w:val="24"/>
        </w:rPr>
      </w:pPr>
      <w:r w:rsidRPr="002C4FCF">
        <w:rPr>
          <w:rFonts w:ascii="仿宋" w:eastAsia="仿宋" w:hAnsi="仿宋" w:cs="Tahoma" w:hint="eastAsia"/>
          <w:sz w:val="24"/>
          <w:szCs w:val="24"/>
        </w:rPr>
        <w:t xml:space="preserve">2. </w:t>
      </w:r>
      <w:r w:rsidR="001D76FB" w:rsidRPr="002C4FCF">
        <w:rPr>
          <w:rFonts w:ascii="仿宋" w:eastAsia="仿宋" w:hAnsi="仿宋" w:cs="Tahoma" w:hint="eastAsia"/>
          <w:sz w:val="24"/>
          <w:szCs w:val="24"/>
        </w:rPr>
        <w:t>研究中心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公用</w:t>
      </w:r>
      <w:r w:rsidR="001D76FB" w:rsidRPr="002C4FCF">
        <w:rPr>
          <w:rFonts w:ascii="仿宋" w:eastAsia="仿宋" w:hAnsi="仿宋" w:cs="Tahoma" w:hint="eastAsia"/>
          <w:sz w:val="24"/>
          <w:szCs w:val="24"/>
        </w:rPr>
        <w:t>经费的使用原则是：</w:t>
      </w:r>
      <w:r w:rsidRPr="002C4FCF">
        <w:rPr>
          <w:rFonts w:ascii="仿宋" w:eastAsia="仿宋" w:hAnsi="仿宋" w:cs="Tahoma" w:hint="eastAsia"/>
          <w:sz w:val="24"/>
          <w:szCs w:val="24"/>
        </w:rPr>
        <w:t>一万元以下开支由中心主任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/常务副主任</w:t>
      </w:r>
      <w:r w:rsidRPr="002C4FCF">
        <w:rPr>
          <w:rFonts w:ascii="仿宋" w:eastAsia="仿宋" w:hAnsi="仿宋" w:cs="Tahoma" w:hint="eastAsia"/>
          <w:sz w:val="24"/>
          <w:szCs w:val="24"/>
        </w:rPr>
        <w:t>批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准；一万元以上（含一万元）的开支须经过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领导班子</w:t>
      </w:r>
      <w:r w:rsidR="002C4FCF">
        <w:rPr>
          <w:rFonts w:ascii="仿宋" w:eastAsia="仿宋" w:hAnsi="仿宋" w:cs="Tahoma" w:hint="eastAsia"/>
          <w:color w:val="333333"/>
          <w:sz w:val="24"/>
          <w:szCs w:val="24"/>
        </w:rPr>
        <w:t>在中心行政会议上（定期或不定期）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共同研究决定</w:t>
      </w:r>
      <w:r w:rsidR="002C4FCF">
        <w:rPr>
          <w:rFonts w:ascii="仿宋" w:eastAsia="仿宋" w:hAnsi="仿宋" w:cs="Tahoma" w:hint="eastAsia"/>
          <w:color w:val="333333"/>
          <w:sz w:val="24"/>
          <w:szCs w:val="24"/>
        </w:rPr>
        <w:t>。</w:t>
      </w:r>
    </w:p>
    <w:p w:rsidR="002B6B36" w:rsidRDefault="002B6B36" w:rsidP="002B6B36">
      <w:pPr>
        <w:spacing w:line="360" w:lineRule="auto"/>
        <w:rPr>
          <w:rFonts w:ascii="仿宋" w:eastAsia="仿宋" w:hAnsi="仿宋" w:cs="Tahoma"/>
          <w:color w:val="333333"/>
          <w:sz w:val="24"/>
          <w:szCs w:val="24"/>
        </w:rPr>
      </w:pP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3. 运行经费主要用于</w:t>
      </w:r>
      <w:r w:rsidR="001F7217">
        <w:rPr>
          <w:rFonts w:ascii="仿宋" w:eastAsia="仿宋" w:hAnsi="仿宋" w:cs="Tahoma" w:hint="eastAsia"/>
          <w:color w:val="333333"/>
          <w:sz w:val="24"/>
          <w:szCs w:val="24"/>
        </w:rPr>
        <w:t>研究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公用设备的运行、维护、更新、以及</w:t>
      </w:r>
      <w:r w:rsidR="003D2361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日常开支。若当年的运行经费有剩余，在下一年度的运行经费下拨之后转入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中心建设经费。</w:t>
      </w:r>
    </w:p>
    <w:p w:rsidR="002B6B36" w:rsidRDefault="002B6B36" w:rsidP="002B6B36">
      <w:pPr>
        <w:spacing w:line="360" w:lineRule="auto"/>
        <w:rPr>
          <w:rFonts w:ascii="仿宋" w:eastAsia="仿宋" w:hAnsi="仿宋" w:cs="Tahoma"/>
          <w:color w:val="333333"/>
          <w:sz w:val="24"/>
          <w:szCs w:val="24"/>
        </w:rPr>
      </w:pP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4. </w:t>
      </w:r>
      <w:r w:rsidR="001D76FB">
        <w:rPr>
          <w:rFonts w:ascii="仿宋" w:eastAsia="仿宋" w:hAnsi="仿宋" w:cs="Tahoma" w:hint="eastAsia"/>
          <w:color w:val="333333"/>
          <w:sz w:val="24"/>
          <w:szCs w:val="24"/>
        </w:rPr>
        <w:t>研究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中心</w:t>
      </w:r>
      <w:r w:rsidRPr="002C4FCF">
        <w:rPr>
          <w:rFonts w:ascii="仿宋" w:eastAsia="仿宋" w:hAnsi="仿宋" w:cs="Tahoma" w:hint="eastAsia"/>
          <w:sz w:val="24"/>
          <w:szCs w:val="24"/>
        </w:rPr>
        <w:t>建设经费主要用于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公用</w:t>
      </w:r>
      <w:r w:rsidRPr="002C4FCF">
        <w:rPr>
          <w:rFonts w:ascii="仿宋" w:eastAsia="仿宋" w:hAnsi="仿宋" w:cs="Tahoma" w:hint="eastAsia"/>
          <w:sz w:val="24"/>
          <w:szCs w:val="24"/>
        </w:rPr>
        <w:t>设备购置费、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中心制定/资助的</w:t>
      </w:r>
      <w:r w:rsidRPr="002C4FCF">
        <w:rPr>
          <w:rFonts w:ascii="仿宋" w:eastAsia="仿宋" w:hAnsi="仿宋" w:cs="Tahoma" w:hint="eastAsia"/>
          <w:sz w:val="24"/>
          <w:szCs w:val="24"/>
        </w:rPr>
        <w:t>研究课题补缺、开放课题设置等。</w:t>
      </w:r>
      <w:r w:rsidRPr="002C4FCF">
        <w:rPr>
          <w:rFonts w:ascii="Calibri" w:eastAsia="仿宋" w:hAnsi="Calibri" w:cs="Calibri" w:hint="eastAsia"/>
          <w:color w:val="333333"/>
          <w:sz w:val="24"/>
          <w:szCs w:val="24"/>
        </w:rPr>
        <w:br/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</w:t>
      </w:r>
      <w:r>
        <w:rPr>
          <w:rFonts w:ascii="仿宋" w:eastAsia="仿宋" w:hAnsi="仿宋" w:cs="Tahoma"/>
          <w:color w:val="333333"/>
          <w:sz w:val="24"/>
          <w:szCs w:val="24"/>
        </w:rPr>
        <w:t xml:space="preserve"> </w:t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（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1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）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设备购置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根据中心建设需要进行，相关费用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按国家或学校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相关经费政策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执行；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br/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>
        <w:rPr>
          <w:rFonts w:ascii="Calibri" w:eastAsia="仿宋" w:hAnsi="Calibri" w:cs="Calibri"/>
          <w:color w:val="333333"/>
          <w:sz w:val="24"/>
          <w:szCs w:val="24"/>
        </w:rPr>
        <w:t xml:space="preserve"> 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</w:t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（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2</w:t>
      </w:r>
      <w:r>
        <w:rPr>
          <w:rFonts w:ascii="Calibri" w:eastAsia="仿宋" w:hAnsi="Calibri" w:cs="Calibri" w:hint="eastAsia"/>
          <w:color w:val="333333"/>
          <w:sz w:val="24"/>
          <w:szCs w:val="24"/>
        </w:rPr>
        <w:t>）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一些研究课题的执行中出现经费短缺，</w:t>
      </w:r>
      <w:r w:rsidR="003D2361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将酌情补贴，以使研究课题顺利进行。申请补缺的课题负责人须向</w:t>
      </w:r>
      <w:r w:rsidR="003D2361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学术委员会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递交课题经费使用明细表、原项目申请书和补缺申请书，</w:t>
      </w:r>
      <w:r w:rsidR="003D2361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将在学术委员会讨论后决定是否补缺。</w:t>
      </w:r>
    </w:p>
    <w:p w:rsidR="002B6B36" w:rsidRDefault="002B6B36" w:rsidP="002B6B36">
      <w:pPr>
        <w:spacing w:line="360" w:lineRule="auto"/>
        <w:rPr>
          <w:rFonts w:ascii="仿宋" w:eastAsia="仿宋" w:hAnsi="仿宋" w:cs="Tahoma"/>
          <w:color w:val="333333"/>
          <w:sz w:val="24"/>
          <w:szCs w:val="24"/>
        </w:rPr>
      </w:pPr>
      <w:r>
        <w:rPr>
          <w:rFonts w:ascii="仿宋" w:eastAsia="仿宋" w:hAnsi="仿宋" w:cs="Tahoma" w:hint="eastAsia"/>
          <w:color w:val="333333"/>
          <w:sz w:val="24"/>
          <w:szCs w:val="24"/>
        </w:rPr>
        <w:t xml:space="preserve">   （3）</w:t>
      </w:r>
      <w:r w:rsidR="001D76FB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>
        <w:rPr>
          <w:rFonts w:ascii="仿宋" w:eastAsia="仿宋" w:hAnsi="仿宋" w:cs="Tahoma" w:hint="eastAsia"/>
          <w:color w:val="333333"/>
          <w:sz w:val="24"/>
          <w:szCs w:val="24"/>
        </w:rPr>
        <w:t>根据发展需要，经学术委员会批准，每</w:t>
      </w:r>
      <w:r w:rsidR="001F7217">
        <w:rPr>
          <w:rFonts w:ascii="仿宋" w:eastAsia="仿宋" w:hAnsi="仿宋" w:cs="Tahoma" w:hint="eastAsia"/>
          <w:color w:val="000000" w:themeColor="text1"/>
          <w:sz w:val="24"/>
          <w:szCs w:val="24"/>
        </w:rPr>
        <w:t>两年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sz w:val="24"/>
          <w:szCs w:val="24"/>
        </w:rPr>
        <w:t>设置若干个开放课题，并给予一定的科研经费支持。</w:t>
      </w:r>
      <w:r w:rsidR="003D2361">
        <w:rPr>
          <w:rFonts w:ascii="仿宋" w:eastAsia="仿宋" w:hAnsi="仿宋" w:cs="Tahoma" w:hint="eastAsia"/>
          <w:color w:val="333333"/>
          <w:sz w:val="24"/>
          <w:szCs w:val="24"/>
        </w:rPr>
        <w:t>研究中心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>对各项研究课题的进度定期检查，课题结束时，应提交项目结题报告和经费使用报告。</w:t>
      </w:r>
    </w:p>
    <w:p w:rsidR="00507AD6" w:rsidRPr="002B6B36" w:rsidRDefault="002B6B36" w:rsidP="002B6B36">
      <w:pPr>
        <w:spacing w:line="360" w:lineRule="auto"/>
        <w:rPr>
          <w:rFonts w:ascii="黑体" w:eastAsia="黑体" w:hAnsi="黑体" w:cs="Tahoma"/>
          <w:b/>
          <w:color w:val="333333"/>
          <w:sz w:val="36"/>
          <w:szCs w:val="36"/>
        </w:rPr>
      </w:pP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>5．</w:t>
      </w:r>
      <w:r w:rsidR="003D2361">
        <w:rPr>
          <w:rFonts w:ascii="仿宋" w:eastAsia="仿宋" w:hAnsi="仿宋" w:cs="Tahoma" w:hint="eastAsia"/>
          <w:sz w:val="24"/>
          <w:szCs w:val="24"/>
        </w:rPr>
        <w:t>研究中心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公用</w:t>
      </w:r>
      <w:r w:rsidRPr="002C4FCF">
        <w:rPr>
          <w:rFonts w:ascii="仿宋" w:eastAsia="仿宋" w:hAnsi="仿宋" w:cs="Tahoma" w:hint="eastAsia"/>
          <w:sz w:val="24"/>
          <w:szCs w:val="24"/>
        </w:rPr>
        <w:t>科研经费一般用于下列项目：</w:t>
      </w:r>
      <w:r w:rsidRPr="002C4FCF">
        <w:rPr>
          <w:rFonts w:ascii="仿宋" w:eastAsia="仿宋" w:hAnsi="仿宋" w:cs="Tahoma" w:hint="eastAsia"/>
          <w:sz w:val="24"/>
          <w:szCs w:val="24"/>
        </w:rPr>
        <w:br/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</w:t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（1）</w:t>
      </w:r>
      <w:r w:rsidR="001D76FB" w:rsidRPr="002C4FCF">
        <w:rPr>
          <w:rFonts w:ascii="仿宋" w:eastAsia="仿宋" w:hAnsi="仿宋" w:cs="Tahoma" w:hint="eastAsia"/>
          <w:sz w:val="24"/>
          <w:szCs w:val="24"/>
        </w:rPr>
        <w:t xml:space="preserve"> </w:t>
      </w:r>
      <w:r w:rsidRPr="002C4FCF">
        <w:rPr>
          <w:rFonts w:ascii="仿宋" w:eastAsia="仿宋" w:hAnsi="仿宋" w:cs="Tahoma" w:hint="eastAsia"/>
          <w:sz w:val="24"/>
          <w:szCs w:val="24"/>
        </w:rPr>
        <w:t>科研奖励经费</w:t>
      </w:r>
      <w:r w:rsidR="00D05C94" w:rsidRPr="002C4FCF">
        <w:rPr>
          <w:rFonts w:ascii="仿宋" w:eastAsia="仿宋" w:hAnsi="仿宋" w:cs="Tahoma" w:hint="eastAsia"/>
          <w:sz w:val="24"/>
          <w:szCs w:val="24"/>
        </w:rPr>
        <w:t>（办法另行制定）</w:t>
      </w:r>
      <w:r w:rsidRPr="002C4FCF">
        <w:rPr>
          <w:rFonts w:ascii="仿宋" w:eastAsia="仿宋" w:hAnsi="仿宋" w:cs="Tahoma" w:hint="eastAsia"/>
          <w:sz w:val="24"/>
          <w:szCs w:val="24"/>
        </w:rPr>
        <w:t>；</w:t>
      </w:r>
      <w:r w:rsidRPr="002C4FCF">
        <w:rPr>
          <w:rFonts w:ascii="仿宋" w:eastAsia="仿宋" w:hAnsi="仿宋" w:cs="Tahoma" w:hint="eastAsia"/>
          <w:sz w:val="24"/>
          <w:szCs w:val="24"/>
        </w:rPr>
        <w:br/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</w:t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（2） 课题组科研工作直接使用的小型仪器、材料等；</w:t>
      </w:r>
      <w:r w:rsidRPr="002C4FCF">
        <w:rPr>
          <w:rFonts w:ascii="仿宋" w:eastAsia="仿宋" w:hAnsi="仿宋" w:cs="Tahoma" w:hint="eastAsia"/>
          <w:sz w:val="24"/>
          <w:szCs w:val="24"/>
        </w:rPr>
        <w:br/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</w:t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（3） 课题组成员必要的业务出差、参加学术会议费用；</w:t>
      </w:r>
      <w:r w:rsidRPr="002C4FCF">
        <w:rPr>
          <w:rFonts w:ascii="仿宋" w:eastAsia="仿宋" w:hAnsi="仿宋" w:cs="Tahoma" w:hint="eastAsia"/>
          <w:sz w:val="24"/>
          <w:szCs w:val="24"/>
        </w:rPr>
        <w:br/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</w:t>
      </w:r>
      <w:r w:rsidRPr="002C4FCF">
        <w:rPr>
          <w:rFonts w:ascii="Calibri" w:eastAsia="仿宋" w:hAnsi="Calibri" w:cs="Calibri"/>
          <w:sz w:val="24"/>
          <w:szCs w:val="24"/>
        </w:rPr>
        <w:t> </w:t>
      </w:r>
      <w:r w:rsidRPr="002C4FCF">
        <w:rPr>
          <w:rFonts w:ascii="仿宋" w:eastAsia="仿宋" w:hAnsi="仿宋" w:cs="Tahoma" w:hint="eastAsia"/>
          <w:sz w:val="24"/>
          <w:szCs w:val="24"/>
        </w:rPr>
        <w:t xml:space="preserve"> （4） 协作加工、测试费用、资料费；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br/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</w:t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（5） 访问学者的住宿、市内交通、津贴费用；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br/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lastRenderedPageBreak/>
        <w:t> 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</w:t>
      </w:r>
      <w:r w:rsidRPr="002B6B36">
        <w:rPr>
          <w:rFonts w:ascii="Calibri" w:eastAsia="仿宋" w:hAnsi="Calibri" w:cs="Calibri"/>
          <w:color w:val="333333"/>
          <w:sz w:val="24"/>
          <w:szCs w:val="24"/>
        </w:rPr>
        <w:t> </w:t>
      </w:r>
      <w:r w:rsidRPr="002B6B36">
        <w:rPr>
          <w:rFonts w:ascii="仿宋" w:eastAsia="仿宋" w:hAnsi="仿宋" w:cs="Tahoma" w:hint="eastAsia"/>
          <w:color w:val="333333"/>
          <w:sz w:val="24"/>
          <w:szCs w:val="24"/>
        </w:rPr>
        <w:t xml:space="preserve"> （6） 公用仪器的运行费。</w:t>
      </w:r>
    </w:p>
    <w:sectPr w:rsidR="00507AD6" w:rsidRPr="002B6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E5" w:rsidRDefault="00A65FE5" w:rsidP="00D05C94">
      <w:r>
        <w:separator/>
      </w:r>
    </w:p>
  </w:endnote>
  <w:endnote w:type="continuationSeparator" w:id="0">
    <w:p w:rsidR="00A65FE5" w:rsidRDefault="00A65FE5" w:rsidP="00D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E5" w:rsidRDefault="00A65FE5" w:rsidP="00D05C94">
      <w:r>
        <w:separator/>
      </w:r>
    </w:p>
  </w:footnote>
  <w:footnote w:type="continuationSeparator" w:id="0">
    <w:p w:rsidR="00A65FE5" w:rsidRDefault="00A65FE5" w:rsidP="00D0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A"/>
    <w:rsid w:val="001015FD"/>
    <w:rsid w:val="001D76FB"/>
    <w:rsid w:val="001F7217"/>
    <w:rsid w:val="002A18CE"/>
    <w:rsid w:val="002B6B36"/>
    <w:rsid w:val="002C4FCF"/>
    <w:rsid w:val="003D2361"/>
    <w:rsid w:val="00581A81"/>
    <w:rsid w:val="009D2C46"/>
    <w:rsid w:val="00A65FE5"/>
    <w:rsid w:val="00C86085"/>
    <w:rsid w:val="00D05C94"/>
    <w:rsid w:val="00D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F540D-CC31-40E3-8559-3978E843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61C9-8154-43BF-9BD2-35A92F7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7</cp:revision>
  <dcterms:created xsi:type="dcterms:W3CDTF">2017-07-21T09:46:00Z</dcterms:created>
  <dcterms:modified xsi:type="dcterms:W3CDTF">2017-08-07T07:13:00Z</dcterms:modified>
</cp:coreProperties>
</file>